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6C73EB">
      <w:pPr>
        <w:pStyle w:val="7"/>
        <w:jc w:val="center"/>
        <w:rPr>
          <w:rFonts w:hint="eastAsia" w:eastAsia="楷体"/>
          <w:sz w:val="44"/>
          <w:szCs w:val="44"/>
          <w:lang w:eastAsia="zh-CN"/>
        </w:rPr>
      </w:pPr>
      <w:r>
        <w:rPr>
          <w:rFonts w:hint="eastAsia" w:eastAsia="楷体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5344160</wp:posOffset>
            </wp:positionH>
            <wp:positionV relativeFrom="paragraph">
              <wp:posOffset>-396240</wp:posOffset>
            </wp:positionV>
            <wp:extent cx="817880" cy="1144905"/>
            <wp:effectExtent l="0" t="0" r="5080" b="13335"/>
            <wp:wrapNone/>
            <wp:docPr id="1" name="图片 1" descr="照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照片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7880" cy="1144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44"/>
          <w:szCs w:val="44"/>
          <w:lang w:val="en-US" w:eastAsia="zh-CN"/>
        </w:rPr>
        <w:t>许琳</w:t>
      </w:r>
    </w:p>
    <w:p w14:paraId="0DA7E8EC">
      <w:pPr>
        <w:pStyle w:val="7"/>
        <w:jc w:val="center"/>
        <w:rPr>
          <w:sz w:val="24"/>
          <w:szCs w:val="24"/>
        </w:rPr>
      </w:pPr>
      <w:r>
        <w:rPr>
          <w:sz w:val="24"/>
          <w:szCs w:val="24"/>
        </w:rPr>
        <w:t>1851</w:t>
      </w:r>
      <w:r>
        <w:rPr>
          <w:rFonts w:hint="eastAsia"/>
          <w:sz w:val="24"/>
          <w:szCs w:val="24"/>
          <w:lang w:val="en-US" w:eastAsia="zh-CN"/>
        </w:rPr>
        <w:t>0411877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sz w:val="24"/>
          <w:szCs w:val="24"/>
        </w:rPr>
        <w:t xml:space="preserve">| </w:t>
      </w:r>
      <w:r>
        <w:rPr>
          <w:rFonts w:hint="eastAsia"/>
          <w:sz w:val="24"/>
          <w:szCs w:val="24"/>
          <w:lang w:val="en-US" w:eastAsia="zh-CN"/>
        </w:rPr>
        <w:t xml:space="preserve">  celine0714</w:t>
      </w:r>
      <w:r>
        <w:rPr>
          <w:sz w:val="24"/>
          <w:szCs w:val="24"/>
        </w:rPr>
        <w:t>@163.com</w:t>
      </w:r>
    </w:p>
    <w:p w14:paraId="7D9F6472">
      <w:pPr>
        <w:pBdr>
          <w:bottom w:val="single" w:color="auto" w:sz="4" w:space="3"/>
        </w:pBdr>
        <w:jc w:val="center"/>
        <w:rPr>
          <w:b/>
        </w:rPr>
      </w:pPr>
    </w:p>
    <w:p w14:paraId="080E553E">
      <w:pPr>
        <w:pBdr>
          <w:bottom w:val="single" w:color="auto" w:sz="4" w:space="3"/>
        </w:pBdr>
        <w:rPr>
          <w:rFonts w:hint="eastAsia" w:ascii="楷体" w:hAnsi="楷体" w:eastAsia="楷体" w:cs="仿宋"/>
          <w:b/>
        </w:rPr>
      </w:pPr>
      <w:r>
        <w:rPr>
          <w:rFonts w:hint="eastAsia" w:ascii="楷体" w:hAnsi="楷体" w:eastAsia="楷体" w:cs="仿宋"/>
          <w:b/>
          <w:sz w:val="28"/>
          <w:szCs w:val="28"/>
        </w:rPr>
        <w:t>教育背景</w:t>
      </w:r>
    </w:p>
    <w:p w14:paraId="1B56B0CD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</w:pPr>
      <w:r>
        <w:rPr>
          <w:rFonts w:hint="eastAsia" w:ascii="楷体" w:hAnsi="楷体" w:eastAsia="楷体" w:cs="仿宋"/>
          <w:b/>
        </w:rPr>
        <w:t>首都经济贸易大学</w:t>
      </w:r>
      <w:r>
        <w:rPr>
          <w:rFonts w:hint="default" w:ascii="楷体" w:hAnsi="楷体" w:eastAsia="楷体" w:cs="仿宋"/>
          <w:b/>
        </w:rPr>
        <w:t> | 审计 | 硕士 | 2015.09-2017.06</w:t>
      </w:r>
    </w:p>
    <w:p w14:paraId="3E8EB49C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</w:rPr>
      </w:pPr>
      <w:r>
        <w:rPr>
          <w:rFonts w:hint="eastAsia" w:ascii="楷体" w:hAnsi="楷体" w:eastAsia="楷体" w:cs="仿宋"/>
          <w:b/>
        </w:rPr>
        <w:t>沈阳农业大学</w:t>
      </w:r>
      <w:r>
        <w:rPr>
          <w:rFonts w:hint="default" w:ascii="楷体" w:hAnsi="楷体" w:eastAsia="楷体" w:cs="仿宋"/>
          <w:b/>
        </w:rPr>
        <w:t> | 生物技术 | 本科 | 2009.09-2013.06</w:t>
      </w:r>
    </w:p>
    <w:p w14:paraId="5B5F2B5C">
      <w:pPr>
        <w:pStyle w:val="13"/>
        <w:numPr>
          <w:numId w:val="0"/>
        </w:numPr>
        <w:tabs>
          <w:tab w:val="left" w:pos="360"/>
        </w:tabs>
        <w:ind w:leftChars="0"/>
        <w:rPr>
          <w:rFonts w:hint="eastAsia" w:ascii="楷体" w:hAnsi="楷体" w:eastAsia="楷体" w:cs="仿宋"/>
        </w:rPr>
      </w:pPr>
    </w:p>
    <w:p w14:paraId="681535B0">
      <w:pPr>
        <w:pBdr>
          <w:bottom w:val="single" w:color="auto" w:sz="4" w:space="3"/>
        </w:pBdr>
        <w:rPr>
          <w:rFonts w:hint="eastAsia" w:ascii="楷体" w:hAnsi="楷体" w:eastAsia="楷体" w:cs="仿宋"/>
          <w:b/>
          <w:sz w:val="28"/>
          <w:szCs w:val="28"/>
          <w:lang w:val="en-US" w:eastAsia="zh-CN"/>
        </w:rPr>
      </w:pPr>
      <w:r>
        <w:rPr>
          <w:rFonts w:hint="eastAsia" w:ascii="楷体" w:hAnsi="楷体" w:eastAsia="楷体" w:cs="仿宋"/>
          <w:b/>
          <w:sz w:val="28"/>
          <w:szCs w:val="28"/>
        </w:rPr>
        <w:t>专业</w:t>
      </w:r>
      <w:r>
        <w:rPr>
          <w:rFonts w:hint="eastAsia" w:ascii="楷体" w:hAnsi="楷体" w:eastAsia="楷体" w:cs="仿宋"/>
          <w:b/>
          <w:sz w:val="28"/>
          <w:szCs w:val="28"/>
          <w:lang w:val="en-US" w:eastAsia="zh-CN"/>
        </w:rPr>
        <w:t>资质</w:t>
      </w:r>
    </w:p>
    <w:p w14:paraId="10B989C4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Cs/>
        </w:rPr>
      </w:pPr>
      <w:r>
        <w:rPr>
          <w:rFonts w:hint="eastAsia" w:ascii="楷体" w:hAnsi="楷体" w:eastAsia="楷体" w:cs="仿宋"/>
          <w:b/>
          <w:bCs w:val="0"/>
          <w:lang w:val="en-US" w:eastAsia="zh-CN"/>
        </w:rPr>
        <w:t>核心资质</w:t>
      </w:r>
      <w:r>
        <w:rPr>
          <w:rFonts w:hint="eastAsia" w:ascii="楷体" w:hAnsi="楷体" w:eastAsia="楷体" w:cs="仿宋"/>
          <w:bCs/>
          <w:lang w:val="en-US" w:eastAsia="zh-CN"/>
        </w:rPr>
        <w:t>：</w:t>
      </w:r>
      <w:r>
        <w:rPr>
          <w:rFonts w:hint="eastAsia" w:ascii="楷体" w:hAnsi="楷体" w:eastAsia="楷体" w:cs="仿宋"/>
          <w:bCs/>
        </w:rPr>
        <w:t>注册会计师（CPA）、法律职业资格证（A证）</w:t>
      </w:r>
    </w:p>
    <w:p w14:paraId="1D8B5FD2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ascii="楷体" w:hAnsi="楷体" w:eastAsia="楷体" w:cs="仿宋"/>
          <w:bCs/>
        </w:rPr>
      </w:pPr>
      <w:r>
        <w:rPr>
          <w:rFonts w:hint="eastAsia" w:ascii="楷体" w:hAnsi="楷体" w:eastAsia="楷体" w:cs="仿宋"/>
          <w:b/>
          <w:bCs w:val="0"/>
          <w:lang w:val="en-US" w:eastAsia="zh-CN"/>
        </w:rPr>
        <w:t>其他：</w:t>
      </w:r>
      <w:r>
        <w:rPr>
          <w:rFonts w:hint="eastAsia" w:ascii="楷体" w:hAnsi="楷体" w:eastAsia="楷体" w:cs="仿宋"/>
          <w:bCs/>
        </w:rPr>
        <w:t xml:space="preserve">中级会计资格证、英语（CET6）  </w:t>
      </w:r>
    </w:p>
    <w:p w14:paraId="1B9F71A5">
      <w:pPr>
        <w:pStyle w:val="13"/>
        <w:tabs>
          <w:tab w:val="left" w:pos="360"/>
          <w:tab w:val="left" w:pos="4584"/>
        </w:tabs>
        <w:rPr>
          <w:rFonts w:hint="eastAsia" w:ascii="楷体" w:hAnsi="楷体" w:eastAsia="楷体" w:cs="仿宋"/>
          <w:bCs/>
        </w:rPr>
      </w:pPr>
    </w:p>
    <w:p w14:paraId="2B5BC20B">
      <w:pPr>
        <w:pBdr>
          <w:bottom w:val="single" w:color="auto" w:sz="4" w:space="3"/>
        </w:pBdr>
        <w:rPr>
          <w:rFonts w:hint="eastAsia" w:ascii="楷体" w:hAnsi="楷体" w:eastAsia="楷体" w:cs="仿宋"/>
          <w:b/>
          <w:sz w:val="28"/>
          <w:szCs w:val="28"/>
        </w:rPr>
      </w:pPr>
      <w:r>
        <w:rPr>
          <w:rFonts w:hint="eastAsia" w:ascii="楷体" w:hAnsi="楷体" w:eastAsia="楷体" w:cs="仿宋"/>
          <w:b/>
          <w:sz w:val="28"/>
          <w:szCs w:val="28"/>
        </w:rPr>
        <w:t>个人优势</w:t>
      </w:r>
    </w:p>
    <w:p w14:paraId="4F37C6B9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</w:pPr>
      <w:r>
        <w:rPr>
          <w:rFonts w:hint="eastAsia" w:ascii="楷体" w:hAnsi="楷体" w:eastAsia="楷体" w:cs="仿宋"/>
          <w:b/>
          <w:bCs w:val="0"/>
        </w:rPr>
        <w:t>财法</w:t>
      </w:r>
      <w:r>
        <w:rPr>
          <w:rFonts w:hint="eastAsia" w:ascii="楷体" w:hAnsi="楷体" w:eastAsia="楷体" w:cs="仿宋"/>
          <w:b/>
          <w:bCs w:val="0"/>
          <w:lang w:val="en-US" w:eastAsia="zh-CN"/>
        </w:rPr>
        <w:t>复合背景</w:t>
      </w:r>
      <w:r>
        <w:rPr>
          <w:rFonts w:hint="eastAsia" w:ascii="楷体" w:hAnsi="楷体" w:eastAsia="楷体" w:cs="仿宋"/>
          <w:b/>
          <w:bCs w:val="0"/>
        </w:rPr>
        <w:t>，高度契合</w:t>
      </w:r>
      <w:r>
        <w:rPr>
          <w:rFonts w:hint="eastAsia" w:ascii="楷体" w:hAnsi="楷体" w:eastAsia="楷体" w:cs="仿宋"/>
          <w:b/>
          <w:bCs w:val="0"/>
          <w:lang w:eastAsia="zh-CN"/>
        </w:rPr>
        <w:t>：</w:t>
      </w:r>
      <w:r>
        <w:rPr>
          <w:rFonts w:hint="eastAsia" w:ascii="楷体" w:hAnsi="楷体" w:eastAsia="楷体" w:cs="仿宋"/>
          <w:bCs/>
        </w:rPr>
        <w:t>拥有</w:t>
      </w:r>
      <w:r>
        <w:rPr>
          <w:rFonts w:hint="default" w:ascii="楷体" w:hAnsi="楷体" w:eastAsia="楷体" w:cs="仿宋"/>
          <w:bCs/>
        </w:rPr>
        <w:t>注册会计师（CPA）与法律职业资格（A证）双证背景，完美匹配工会“财资法务”岗位对财务专业与法律合规的双重要求。擅长在经费管理、资产处置中嵌入法律风控视角，实现业、财、法一体化管理。</w:t>
      </w:r>
    </w:p>
    <w:p w14:paraId="19A3A174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</w:pPr>
      <w:r>
        <w:rPr>
          <w:rFonts w:hint="eastAsia" w:ascii="楷体" w:hAnsi="楷体" w:eastAsia="楷体" w:cs="仿宋"/>
          <w:b/>
          <w:bCs w:val="0"/>
        </w:rPr>
        <w:t>全链条财务管理经验</w:t>
      </w:r>
      <w:r>
        <w:rPr>
          <w:rFonts w:hint="eastAsia" w:ascii="楷体" w:hAnsi="楷体" w:eastAsia="楷体" w:cs="仿宋"/>
          <w:b/>
          <w:bCs w:val="0"/>
          <w:lang w:eastAsia="zh-CN"/>
        </w:rPr>
        <w:t>：</w:t>
      </w:r>
      <w:r>
        <w:rPr>
          <w:rFonts w:hint="default" w:ascii="楷体" w:hAnsi="楷体" w:eastAsia="楷体" w:cs="仿宋"/>
          <w:bCs/>
        </w:rPr>
        <w:t>具备从预算编制、执行监督到审计的全流程经验。曾主导跨国企业预算协同与历史账目清理，熟悉预算管控、资金预警、异常交易监测及固定资产核查，能有效承担工会经费的收缴、拨付及预决算编制工作。</w:t>
      </w:r>
    </w:p>
    <w:p w14:paraId="4A209495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</w:pPr>
      <w:r>
        <w:rPr>
          <w:rFonts w:hint="eastAsia" w:ascii="楷体" w:hAnsi="楷体" w:eastAsia="楷体" w:cs="仿宋"/>
          <w:b/>
          <w:bCs w:val="0"/>
        </w:rPr>
        <w:t>合规风控与制度建设</w:t>
      </w:r>
      <w:r>
        <w:rPr>
          <w:rFonts w:hint="eastAsia" w:ascii="楷体" w:hAnsi="楷体" w:eastAsia="楷体" w:cs="仿宋"/>
          <w:b/>
          <w:bCs w:val="0"/>
          <w:lang w:eastAsia="zh-CN"/>
        </w:rPr>
        <w:t>：</w:t>
      </w:r>
      <w:r>
        <w:rPr>
          <w:rFonts w:hint="default" w:ascii="楷体" w:hAnsi="楷体" w:eastAsia="楷体" w:cs="仿宋"/>
          <w:bCs/>
        </w:rPr>
        <w:t>兼具司法实务与企业内控经验。既能在法院深度参与经济纠纷案件审理、提炼合同风险点；也能在强监管的金融、外企环境中搭建采购分级审批、应付账款自动化流程，具备极强的制度建设和流程优化能力</w:t>
      </w:r>
      <w:r>
        <w:rPr>
          <w:rFonts w:hint="eastAsia" w:ascii="楷体" w:hAnsi="楷体" w:eastAsia="楷体" w:cs="仿宋"/>
          <w:bCs/>
        </w:rPr>
        <w:t>复合型问题解决与集团化风控经验</w:t>
      </w:r>
      <w:r>
        <w:rPr>
          <w:rFonts w:hint="eastAsia" w:ascii="楷体" w:hAnsi="楷体" w:eastAsia="楷体" w:cs="仿宋"/>
          <w:bCs/>
          <w:lang w:eastAsia="zh-CN"/>
        </w:rPr>
        <w:t>。</w:t>
      </w:r>
    </w:p>
    <w:p w14:paraId="41A842A0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Cs/>
        </w:rPr>
      </w:pPr>
      <w:r>
        <w:rPr>
          <w:rFonts w:hint="eastAsia" w:ascii="楷体" w:hAnsi="楷体" w:eastAsia="楷体" w:cs="仿宋"/>
          <w:b/>
          <w:bCs w:val="0"/>
        </w:rPr>
        <w:t>数据治理与综合分析</w:t>
      </w:r>
      <w:r>
        <w:rPr>
          <w:rFonts w:hint="eastAsia" w:ascii="楷体" w:hAnsi="楷体" w:eastAsia="楷体" w:cs="仿宋"/>
          <w:b/>
          <w:bCs w:val="0"/>
          <w:lang w:eastAsia="zh-CN"/>
        </w:rPr>
        <w:t>：</w:t>
      </w:r>
      <w:r>
        <w:rPr>
          <w:rFonts w:hint="default" w:ascii="楷体" w:hAnsi="楷体" w:eastAsia="楷体" w:cs="仿宋"/>
          <w:bCs/>
        </w:rPr>
        <w:t>拥有财务数字化转型经验，主导过ERP系统对接与费用报销系统升级，熟悉数据实时同步、自动审核及异常监测。结合创业期间的经营分析经验，能胜任数据资产治理、统计分析及专题研究等综合事务。</w:t>
      </w:r>
    </w:p>
    <w:p w14:paraId="0AAC62E6">
      <w:pPr>
        <w:pStyle w:val="13"/>
        <w:numPr>
          <w:numId w:val="0"/>
        </w:numPr>
        <w:tabs>
          <w:tab w:val="left" w:pos="360"/>
        </w:tabs>
        <w:ind w:leftChars="0"/>
        <w:rPr>
          <w:rFonts w:hint="eastAsia" w:ascii="楷体" w:hAnsi="楷体" w:eastAsia="楷体" w:cs="仿宋"/>
          <w:bCs/>
        </w:rPr>
      </w:pPr>
    </w:p>
    <w:p w14:paraId="15950788">
      <w:pPr>
        <w:pBdr>
          <w:bottom w:val="single" w:color="auto" w:sz="4" w:space="3"/>
        </w:pBdr>
        <w:rPr>
          <w:rFonts w:hint="eastAsia" w:ascii="楷体" w:hAnsi="楷体" w:eastAsia="楷体" w:cs="仿宋"/>
          <w:b/>
          <w:sz w:val="28"/>
          <w:szCs w:val="28"/>
        </w:rPr>
      </w:pPr>
      <w:r>
        <w:rPr>
          <w:rFonts w:hint="eastAsia" w:ascii="楷体" w:hAnsi="楷体" w:eastAsia="楷体" w:cs="仿宋"/>
          <w:b/>
          <w:sz w:val="28"/>
          <w:szCs w:val="28"/>
        </w:rPr>
        <w:t>工作经历</w:t>
      </w:r>
    </w:p>
    <w:p w14:paraId="13BB4A4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Fonts w:hint="eastAsia" w:ascii="楷体" w:hAnsi="楷体" w:eastAsia="楷体" w:cs="仿宋"/>
          <w:b/>
        </w:rPr>
        <w:t>北京金融法院-聘用制</w:t>
      </w:r>
      <w:r>
        <w:rPr>
          <w:rFonts w:hint="eastAsia" w:ascii="楷体" w:hAnsi="楷体" w:eastAsia="楷体" w:cs="仿宋"/>
          <w:b/>
          <w:lang w:val="en-US" w:eastAsia="zh-CN"/>
        </w:rPr>
        <w:t>法官</w:t>
      </w:r>
      <w:r>
        <w:rPr>
          <w:rFonts w:hint="eastAsia" w:ascii="楷体" w:hAnsi="楷体" w:eastAsia="楷体" w:cs="仿宋"/>
          <w:b/>
        </w:rPr>
        <w:t xml:space="preserve">助理                    </w:t>
      </w:r>
      <w:bookmarkStart w:id="0" w:name="_Hlk145963718"/>
      <w:r>
        <w:rPr>
          <w:rFonts w:hint="eastAsia" w:ascii="楷体" w:hAnsi="楷体" w:eastAsia="楷体" w:cs="仿宋"/>
          <w:b/>
        </w:rPr>
        <w:t xml:space="preserve">                  </w:t>
      </w:r>
      <w:bookmarkEnd w:id="0"/>
      <w:r>
        <w:rPr>
          <w:rFonts w:hint="eastAsia" w:ascii="楷体" w:hAnsi="楷体" w:eastAsia="楷体" w:cs="仿宋"/>
          <w:b/>
        </w:rPr>
        <w:t xml:space="preserve">   </w:t>
      </w:r>
      <w:r>
        <w:rPr>
          <w:rFonts w:hint="eastAsia" w:ascii="楷体" w:hAnsi="楷体" w:eastAsia="楷体" w:cs="仿宋"/>
          <w:b/>
          <w:bCs w:val="0"/>
          <w:sz w:val="24"/>
          <w:szCs w:val="24"/>
          <w:lang w:val="en-US" w:eastAsia="zh-CN" w:bidi="ar-SA"/>
        </w:rPr>
        <w:t>2022.07-2022.08</w:t>
      </w:r>
    </w:p>
    <w:p w14:paraId="21084D37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b w:val="0"/>
          <w:bCs/>
        </w:rPr>
      </w:pPr>
      <w:r>
        <w:rPr>
          <w:rFonts w:hint="eastAsia" w:ascii="楷体" w:hAnsi="楷体" w:eastAsia="楷体" w:cs="仿宋"/>
          <w:b w:val="0"/>
          <w:bCs/>
        </w:rPr>
        <w:t>合同与法律风险研判：</w:t>
      </w:r>
      <w:r>
        <w:rPr>
          <w:rFonts w:hint="default" w:ascii="楷体" w:hAnsi="楷体" w:eastAsia="楷体" w:cs="仿宋"/>
          <w:b w:val="0"/>
          <w:bCs/>
        </w:rPr>
        <w:t> 协助处理多起经济纠纷案件，通过审查诉讼材料、梳理争议焦点，精准提炼合同签订与履行中的法律风险点，提升了相关领域的实务应用能力。</w:t>
      </w:r>
    </w:p>
    <w:p w14:paraId="5F83C3F5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Cs/>
        </w:rPr>
      </w:pPr>
      <w:r>
        <w:rPr>
          <w:rFonts w:hint="eastAsia" w:ascii="楷体" w:hAnsi="楷体" w:eastAsia="楷体" w:cs="仿宋"/>
          <w:b w:val="0"/>
          <w:bCs/>
        </w:rPr>
        <w:t>法律文书与合规支持：</w:t>
      </w:r>
      <w:r>
        <w:rPr>
          <w:rFonts w:hint="default" w:ascii="楷体" w:hAnsi="楷体" w:eastAsia="楷体" w:cs="仿宋"/>
          <w:b w:val="0"/>
          <w:bCs/>
        </w:rPr>
        <w:t> 草</w:t>
      </w:r>
      <w:r>
        <w:rPr>
          <w:rFonts w:hint="default" w:ascii="楷体" w:hAnsi="楷体" w:eastAsia="楷体" w:cs="仿宋"/>
          <w:bCs/>
        </w:rPr>
        <w:t>拟裁判文书、调解文书及法律文书，熟悉司法裁判尺度；为权益维护、合同咨询</w:t>
      </w:r>
      <w:r>
        <w:rPr>
          <w:rFonts w:hint="eastAsia" w:ascii="楷体" w:hAnsi="楷体" w:eastAsia="楷体" w:cs="仿宋"/>
          <w:bCs/>
          <w:lang w:val="en-US" w:eastAsia="zh-CN"/>
        </w:rPr>
        <w:t>及与常法律师的沟通</w:t>
      </w:r>
      <w:r>
        <w:rPr>
          <w:rFonts w:hint="default" w:ascii="楷体" w:hAnsi="楷体" w:eastAsia="楷体" w:cs="仿宋"/>
          <w:bCs/>
        </w:rPr>
        <w:t>等法律事务提供了可落地的实务经验基础。</w:t>
      </w:r>
      <w:r>
        <w:rPr>
          <w:rFonts w:hint="eastAsia" w:ascii="楷体" w:hAnsi="楷体" w:eastAsia="楷体" w:cs="仿宋"/>
          <w:bCs/>
        </w:rPr>
        <w:br w:type="textWrapping"/>
      </w:r>
    </w:p>
    <w:p w14:paraId="12657FF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Fonts w:hint="eastAsia" w:ascii="楷体" w:hAnsi="楷体" w:eastAsia="楷体" w:cs="仿宋"/>
          <w:b/>
        </w:rPr>
        <w:t xml:space="preserve">斯伦贝谢-会计 </w:t>
      </w:r>
      <w:r>
        <w:rPr>
          <w:rFonts w:hint="eastAsia" w:ascii="楷体" w:hAnsi="楷体" w:eastAsia="楷体" w:cs="仿宋"/>
          <w:b/>
          <w:sz w:val="28"/>
          <w:szCs w:val="28"/>
        </w:rPr>
        <w:t xml:space="preserve">  </w:t>
      </w:r>
      <w:r>
        <w:rPr>
          <w:rFonts w:hint="eastAsia" w:ascii="楷体" w:hAnsi="楷体" w:eastAsia="楷体" w:cs="仿宋"/>
          <w:b/>
        </w:rPr>
        <w:t xml:space="preserve">                                                    </w:t>
      </w:r>
      <w:r>
        <w:rPr>
          <w:rFonts w:hint="eastAsia" w:ascii="楷体" w:hAnsi="楷体" w:eastAsia="楷体" w:cs="仿宋"/>
          <w:b/>
          <w:bCs w:val="0"/>
          <w:sz w:val="24"/>
          <w:szCs w:val="24"/>
          <w:lang w:val="en-US" w:eastAsia="zh-CN" w:bidi="ar-SA"/>
        </w:rPr>
        <w:t>2018.02-2018.06</w:t>
      </w:r>
    </w:p>
    <w:p w14:paraId="2193F75C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 w:val="0"/>
          <w:bCs/>
        </w:rPr>
      </w:pPr>
      <w:r>
        <w:rPr>
          <w:rFonts w:hint="eastAsia" w:ascii="楷体" w:hAnsi="楷体" w:eastAsia="楷体" w:cs="仿宋"/>
          <w:b w:val="0"/>
          <w:bCs/>
        </w:rPr>
        <w:t>固定资产与账务管理：</w:t>
      </w:r>
      <w:r>
        <w:rPr>
          <w:rFonts w:hint="default" w:ascii="楷体" w:hAnsi="楷体" w:eastAsia="楷体" w:cs="仿宋"/>
          <w:b w:val="0"/>
          <w:bCs/>
        </w:rPr>
        <w:t> 对接多维核算体系，负责固定资产核查与跨境交易账务处理，确保资产数据准确性与报表及时性，可直接迁移至工会固定资产管理工作。</w:t>
      </w:r>
    </w:p>
    <w:p w14:paraId="302C1402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 w:val="0"/>
          <w:bCs/>
        </w:rPr>
      </w:pPr>
      <w:r>
        <w:rPr>
          <w:rFonts w:hint="eastAsia" w:ascii="楷体" w:hAnsi="楷体" w:eastAsia="楷体" w:cs="仿宋"/>
          <w:b w:val="0"/>
          <w:bCs/>
        </w:rPr>
        <w:t>预算执行与资金管控：</w:t>
      </w:r>
      <w:r>
        <w:rPr>
          <w:rFonts w:hint="default" w:ascii="楷体" w:hAnsi="楷体" w:eastAsia="楷体" w:cs="仿宋"/>
          <w:b w:val="0"/>
          <w:bCs/>
        </w:rPr>
        <w:t> 严格落实资金动态监控与预警机制，牵头清理历史积欠往来款，具备极强的预算执行监督和资金流管控能力。</w:t>
      </w:r>
    </w:p>
    <w:p w14:paraId="178F4414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Cs/>
        </w:rPr>
      </w:pPr>
      <w:r>
        <w:rPr>
          <w:rFonts w:hint="eastAsia" w:ascii="楷体" w:hAnsi="楷体" w:eastAsia="楷体" w:cs="仿宋"/>
          <w:b w:val="0"/>
          <w:bCs/>
        </w:rPr>
        <w:t>内控体系与流程建设：</w:t>
      </w:r>
      <w:r>
        <w:rPr>
          <w:rFonts w:hint="default" w:ascii="楷体" w:hAnsi="楷体" w:eastAsia="楷体" w:cs="仿宋"/>
          <w:b w:val="0"/>
          <w:bCs/>
        </w:rPr>
        <w:t> </w:t>
      </w:r>
      <w:r>
        <w:rPr>
          <w:rFonts w:hint="eastAsia" w:ascii="楷体" w:hAnsi="楷体" w:eastAsia="楷体" w:cs="仿宋"/>
          <w:b w:val="0"/>
          <w:bCs/>
          <w:lang w:val="en-US" w:eastAsia="zh-CN"/>
        </w:rPr>
        <w:t>保障</w:t>
      </w:r>
      <w:r>
        <w:rPr>
          <w:rFonts w:hint="default" w:ascii="楷体" w:hAnsi="楷体" w:eastAsia="楷体" w:cs="仿宋"/>
          <w:b w:val="0"/>
          <w:bCs/>
        </w:rPr>
        <w:t>采购合同分级审批机制</w:t>
      </w:r>
      <w:r>
        <w:rPr>
          <w:rFonts w:hint="eastAsia" w:ascii="楷体" w:hAnsi="楷体" w:eastAsia="楷体" w:cs="仿宋"/>
          <w:b w:val="0"/>
          <w:bCs/>
          <w:lang w:val="en-US" w:eastAsia="zh-CN"/>
        </w:rPr>
        <w:t>高效运行</w:t>
      </w:r>
      <w:r>
        <w:rPr>
          <w:rFonts w:hint="default" w:ascii="楷体" w:hAnsi="楷体" w:eastAsia="楷体" w:cs="仿宋"/>
          <w:b w:val="0"/>
          <w:bCs/>
        </w:rPr>
        <w:t>，推动应付账款流程自动化改造。在制度建设和风险防控方面</w:t>
      </w:r>
      <w:r>
        <w:rPr>
          <w:rFonts w:hint="eastAsia" w:ascii="楷体" w:hAnsi="楷体" w:eastAsia="楷体" w:cs="仿宋"/>
          <w:b w:val="0"/>
          <w:bCs/>
          <w:lang w:val="en-US" w:eastAsia="zh-CN"/>
        </w:rPr>
        <w:t>具有高度</w:t>
      </w:r>
      <w:r>
        <w:rPr>
          <w:rFonts w:hint="default" w:ascii="楷体" w:hAnsi="楷体" w:eastAsia="楷体" w:cs="仿宋"/>
          <w:b w:val="0"/>
          <w:bCs/>
        </w:rPr>
        <w:t>执行力，契合工会经费审查与内控要求。</w:t>
      </w:r>
      <w:r>
        <w:rPr>
          <w:rFonts w:hint="eastAsia" w:ascii="楷体" w:hAnsi="楷体" w:eastAsia="楷体" w:cs="仿宋"/>
          <w:bCs/>
          <w:lang w:val="en-US" w:eastAsia="zh-CN"/>
        </w:rPr>
        <w:t xml:space="preserve"> </w:t>
      </w:r>
    </w:p>
    <w:p w14:paraId="13CEC22E">
      <w:pPr>
        <w:pStyle w:val="13"/>
        <w:numPr>
          <w:numId w:val="0"/>
        </w:numPr>
        <w:tabs>
          <w:tab w:val="left" w:pos="360"/>
        </w:tabs>
        <w:ind w:leftChars="0"/>
        <w:rPr>
          <w:rFonts w:hint="eastAsia" w:ascii="楷体" w:hAnsi="楷体" w:eastAsia="楷体" w:cs="仿宋"/>
          <w:bCs/>
        </w:rPr>
      </w:pPr>
    </w:p>
    <w:p w14:paraId="399BEB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楷体" w:hAnsi="楷体" w:eastAsia="楷体" w:cs="仿宋"/>
          <w:bCs/>
        </w:rPr>
      </w:pPr>
      <w:r>
        <w:rPr>
          <w:rFonts w:hint="eastAsia" w:ascii="楷体" w:hAnsi="楷体" w:eastAsia="楷体" w:cs="仿宋"/>
          <w:b/>
        </w:rPr>
        <w:t xml:space="preserve">中国国际金融股份有限公司-费用会计                                 </w:t>
      </w:r>
      <w:r>
        <w:rPr>
          <w:rFonts w:hint="eastAsia" w:ascii="楷体" w:hAnsi="楷体" w:eastAsia="楷体" w:cs="仿宋"/>
          <w:b/>
          <w:lang w:val="en-US" w:eastAsia="zh-CN"/>
        </w:rPr>
        <w:t xml:space="preserve"> </w:t>
      </w:r>
      <w:r>
        <w:rPr>
          <w:rFonts w:hint="eastAsia" w:ascii="楷体" w:hAnsi="楷体" w:eastAsia="楷体" w:cs="仿宋"/>
          <w:b/>
          <w:bCs w:val="0"/>
        </w:rPr>
        <w:t xml:space="preserve"> </w:t>
      </w:r>
      <w:r>
        <w:rPr>
          <w:rFonts w:hint="eastAsia" w:ascii="楷体" w:hAnsi="楷体" w:eastAsia="楷体" w:cs="仿宋"/>
          <w:b/>
          <w:bCs w:val="0"/>
          <w:sz w:val="24"/>
          <w:szCs w:val="24"/>
          <w:lang w:val="en-US" w:eastAsia="zh-CN" w:bidi="ar-SA"/>
        </w:rPr>
        <w:t>2017.02-2017.10</w:t>
      </w:r>
    </w:p>
    <w:p w14:paraId="1DA0038E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ascii="楷体" w:hAnsi="楷体" w:eastAsia="楷体" w:cs="仿宋"/>
          <w:b w:val="0"/>
          <w:bCs/>
        </w:rPr>
      </w:pPr>
      <w:r>
        <w:rPr>
          <w:rFonts w:hint="eastAsia" w:ascii="楷体" w:hAnsi="楷体" w:eastAsia="楷体" w:cs="仿宋"/>
          <w:b w:val="0"/>
          <w:bCs/>
        </w:rPr>
        <w:t>预算与数字化管理： 主导费用报销系统升级，实现数据实时同步与常规业务自动审核，具备财务数字化转型与数据治理的实践经验</w:t>
      </w:r>
      <w:r>
        <w:rPr>
          <w:rFonts w:ascii="楷体" w:hAnsi="楷体" w:eastAsia="楷体" w:cs="仿宋"/>
          <w:b w:val="0"/>
          <w:bCs/>
        </w:rPr>
        <w:t>。</w:t>
      </w:r>
    </w:p>
    <w:p w14:paraId="79839708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Cs/>
        </w:rPr>
      </w:pPr>
      <w:r>
        <w:rPr>
          <w:rFonts w:hint="default" w:ascii="楷体" w:hAnsi="楷体" w:eastAsia="楷体" w:cs="仿宋"/>
          <w:b w:val="0"/>
          <w:bCs/>
        </w:rPr>
        <w:t>风险监控： 建立业务</w:t>
      </w:r>
      <w:r>
        <w:rPr>
          <w:rFonts w:hint="default" w:ascii="楷体" w:hAnsi="楷体" w:eastAsia="楷体" w:cs="仿宋"/>
          <w:bCs/>
        </w:rPr>
        <w:t>-财务联动的异常交易监测机制，提前识别重大合规风险，体现了将财务数据与业务实质结合进行风险预警的能力。</w:t>
      </w:r>
      <w:r>
        <w:rPr>
          <w:rFonts w:hint="eastAsia" w:ascii="楷体" w:hAnsi="楷体" w:eastAsia="楷体" w:cs="仿宋"/>
          <w:bCs/>
        </w:rPr>
        <w:br w:type="textWrapping"/>
      </w:r>
    </w:p>
    <w:p w14:paraId="73C02DF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>
        <w:rPr>
          <w:rFonts w:hint="eastAsia" w:ascii="楷体" w:hAnsi="楷体" w:eastAsia="楷体" w:cs="仿宋"/>
          <w:b/>
        </w:rPr>
        <w:t xml:space="preserve">智慧感知北京科技有限公司-助理会计                                   </w:t>
      </w:r>
      <w:r>
        <w:rPr>
          <w:rFonts w:hint="eastAsia" w:ascii="楷体" w:hAnsi="楷体" w:eastAsia="楷体" w:cs="仿宋"/>
          <w:b/>
          <w:bCs w:val="0"/>
          <w:sz w:val="24"/>
          <w:szCs w:val="24"/>
          <w:lang w:val="en-US" w:eastAsia="zh-CN" w:bidi="ar-SA"/>
        </w:rPr>
        <w:t>2016.01-2016.11</w:t>
      </w:r>
    </w:p>
    <w:p w14:paraId="45AD1845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 w:val="0"/>
          <w:bCs/>
        </w:rPr>
      </w:pPr>
      <w:r>
        <w:rPr>
          <w:rFonts w:hint="eastAsia" w:ascii="楷体" w:hAnsi="楷体" w:eastAsia="楷体" w:cs="仿宋"/>
          <w:b w:val="0"/>
          <w:bCs/>
        </w:rPr>
        <w:t>参预算编制与决策支持： 协助完成预算编制，通过历史数据对标优化策略，支持管理层制定投资方案，具备扎实的预算编制与统计分析基础。</w:t>
      </w:r>
    </w:p>
    <w:p w14:paraId="2E2BC7E5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eastAsia" w:ascii="楷体" w:hAnsi="楷体" w:eastAsia="楷体" w:cs="仿宋"/>
          <w:bCs/>
        </w:rPr>
      </w:pPr>
      <w:r>
        <w:rPr>
          <w:rFonts w:hint="default" w:ascii="楷体" w:hAnsi="楷体" w:eastAsia="楷体" w:cs="仿宋"/>
          <w:b w:val="0"/>
          <w:bCs/>
        </w:rPr>
        <w:t>合规审查： 参与</w:t>
      </w:r>
      <w:r>
        <w:rPr>
          <w:rFonts w:hint="default" w:ascii="楷体" w:hAnsi="楷体" w:eastAsia="楷体" w:cs="仿宋"/>
          <w:bCs/>
        </w:rPr>
        <w:t>物资采购合同审核，从付款周期、违约责任</w:t>
      </w:r>
      <w:r>
        <w:rPr>
          <w:rFonts w:hint="eastAsia" w:ascii="楷体" w:hAnsi="楷体" w:eastAsia="楷体" w:cs="仿宋"/>
          <w:bCs/>
          <w:lang w:val="en-US" w:eastAsia="zh-CN"/>
        </w:rPr>
        <w:t>等</w:t>
      </w:r>
      <w:r>
        <w:rPr>
          <w:rFonts w:hint="default" w:ascii="楷体" w:hAnsi="楷体" w:eastAsia="楷体" w:cs="仿宋"/>
          <w:bCs/>
        </w:rPr>
        <w:t>维度识别条款风险</w:t>
      </w:r>
      <w:r>
        <w:rPr>
          <w:rFonts w:hint="eastAsia" w:ascii="楷体" w:hAnsi="楷体" w:eastAsia="楷体" w:cs="仿宋"/>
          <w:bCs/>
          <w:lang w:eastAsia="zh-CN"/>
        </w:rPr>
        <w:t>。</w:t>
      </w:r>
    </w:p>
    <w:p w14:paraId="456AB631">
      <w:pPr>
        <w:pStyle w:val="13"/>
        <w:numPr>
          <w:numId w:val="0"/>
        </w:numPr>
        <w:tabs>
          <w:tab w:val="left" w:pos="360"/>
        </w:tabs>
        <w:ind w:leftChars="0"/>
        <w:rPr>
          <w:rFonts w:hint="eastAsia" w:ascii="楷体" w:hAnsi="楷体" w:eastAsia="楷体" w:cs="仿宋"/>
          <w:bCs/>
        </w:rPr>
      </w:pPr>
    </w:p>
    <w:p w14:paraId="16377AB4">
      <w:pPr>
        <w:pBdr>
          <w:bottom w:val="single" w:color="auto" w:sz="4" w:space="3"/>
        </w:pBdr>
        <w:rPr>
          <w:rFonts w:hint="eastAsia" w:ascii="楷体" w:hAnsi="楷体" w:eastAsia="楷体" w:cs="仿宋"/>
          <w:b/>
          <w:sz w:val="28"/>
          <w:szCs w:val="28"/>
        </w:rPr>
      </w:pPr>
      <w:r>
        <w:rPr>
          <w:rFonts w:hint="eastAsia" w:ascii="楷体" w:hAnsi="楷体" w:eastAsia="楷体" w:cs="仿宋"/>
          <w:b/>
          <w:sz w:val="28"/>
          <w:szCs w:val="28"/>
        </w:rPr>
        <w:t>其他经历</w:t>
      </w:r>
      <w:bookmarkStart w:id="1" w:name="_GoBack"/>
      <w:bookmarkEnd w:id="1"/>
    </w:p>
    <w:p w14:paraId="6FBBB67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楷体" w:hAnsi="楷体" w:eastAsia="楷体" w:cs="仿宋"/>
          <w:b/>
          <w:sz w:val="24"/>
          <w:szCs w:val="24"/>
        </w:rPr>
      </w:pPr>
      <w:r>
        <w:rPr>
          <w:rFonts w:hint="eastAsia" w:ascii="楷体" w:hAnsi="楷体" w:eastAsia="楷体" w:cs="仿宋"/>
          <w:b/>
          <w:sz w:val="24"/>
          <w:szCs w:val="24"/>
        </w:rPr>
        <w:t>创业经历：2018.12-2022.04 电子商务创业探索</w:t>
      </w:r>
    </w:p>
    <w:p w14:paraId="696B14A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1205" w:firstLineChars="500"/>
        <w:rPr>
          <w:rFonts w:hint="eastAsia" w:ascii="楷体" w:hAnsi="楷体" w:eastAsia="楷体" w:cs="仿宋"/>
          <w:b/>
        </w:rPr>
      </w:pPr>
      <w:r>
        <w:rPr>
          <w:rFonts w:ascii="楷体" w:hAnsi="楷体" w:eastAsia="楷体" w:cs="仿宋"/>
          <w:b/>
        </w:rPr>
        <w:t>202</w:t>
      </w:r>
      <w:r>
        <w:rPr>
          <w:rFonts w:hint="eastAsia" w:ascii="楷体" w:hAnsi="楷体" w:eastAsia="楷体" w:cs="仿宋"/>
          <w:b/>
        </w:rPr>
        <w:t>2.10</w:t>
      </w:r>
      <w:r>
        <w:rPr>
          <w:rFonts w:ascii="楷体" w:hAnsi="楷体" w:eastAsia="楷体" w:cs="仿宋"/>
          <w:b/>
        </w:rPr>
        <w:t xml:space="preserve">至今 </w:t>
      </w:r>
      <w:r>
        <w:rPr>
          <w:rFonts w:hint="eastAsia" w:ascii="楷体" w:hAnsi="楷体" w:eastAsia="楷体" w:cs="仿宋"/>
          <w:b/>
          <w:lang w:val="en-US" w:eastAsia="zh-CN"/>
        </w:rPr>
        <w:t xml:space="preserve">    </w:t>
      </w:r>
      <w:r>
        <w:rPr>
          <w:rFonts w:ascii="楷体" w:hAnsi="楷体" w:eastAsia="楷体" w:cs="仿宋"/>
          <w:b/>
        </w:rPr>
        <w:t>个体经营</w:t>
      </w:r>
    </w:p>
    <w:p w14:paraId="2EA360B8">
      <w:pPr>
        <w:pStyle w:val="13"/>
        <w:numPr>
          <w:numId w:val="0"/>
        </w:numPr>
        <w:tabs>
          <w:tab w:val="left" w:pos="360"/>
        </w:tabs>
        <w:ind w:leftChars="0"/>
        <w:rPr>
          <w:rFonts w:ascii="楷体" w:hAnsi="楷体" w:eastAsia="楷体" w:cs="仿宋"/>
          <w:b w:val="0"/>
          <w:bCs/>
        </w:rPr>
      </w:pPr>
      <w:r>
        <w:rPr>
          <w:rFonts w:hint="eastAsia" w:ascii="楷体" w:hAnsi="楷体" w:eastAsia="楷体" w:cs="仿宋"/>
          <w:bCs/>
        </w:rPr>
        <w:t>该阶段以系统学习与专业资质考取为目标，同步持有个体工商户营业执照，维持微型实体的合规存续。虽业务尚处萌芽期，但通过</w:t>
      </w:r>
      <w:r>
        <w:rPr>
          <w:rFonts w:hint="eastAsia" w:ascii="楷体" w:hAnsi="楷体" w:eastAsia="楷体" w:cs="仿宋"/>
          <w:bCs/>
          <w:lang w:val="en-US" w:eastAsia="zh-CN"/>
        </w:rPr>
        <w:t>该平台</w:t>
      </w:r>
      <w:r>
        <w:rPr>
          <w:rFonts w:hint="eastAsia" w:ascii="楷体" w:hAnsi="楷体" w:eastAsia="楷体" w:cs="仿宋"/>
          <w:bCs/>
        </w:rPr>
        <w:t>实践了从零开始的合规框架搭建，实现了理论与实践</w:t>
      </w:r>
      <w:r>
        <w:rPr>
          <w:rFonts w:hint="eastAsia" w:ascii="楷体" w:hAnsi="楷体" w:eastAsia="楷体" w:cs="仿宋"/>
          <w:b w:val="0"/>
          <w:bCs/>
        </w:rPr>
        <w:t>的相互印证。</w:t>
      </w:r>
    </w:p>
    <w:p w14:paraId="0F3F5637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ascii="楷体" w:hAnsi="楷体" w:eastAsia="楷体" w:cs="仿宋"/>
          <w:b w:val="0"/>
          <w:bCs/>
        </w:rPr>
      </w:pPr>
      <w:r>
        <w:rPr>
          <w:rFonts w:hint="eastAsia" w:ascii="楷体" w:hAnsi="楷体" w:eastAsia="楷体" w:cs="仿宋"/>
          <w:b w:val="0"/>
          <w:bCs/>
        </w:rPr>
        <w:t>合规体系搭建：基于备考</w:t>
      </w:r>
      <w:r>
        <w:rPr>
          <w:rFonts w:hint="eastAsia" w:ascii="楷体" w:hAnsi="楷体" w:eastAsia="楷体" w:cs="仿宋"/>
          <w:b w:val="0"/>
          <w:bCs/>
          <w:lang w:val="en-US" w:eastAsia="zh-CN"/>
        </w:rPr>
        <w:t>CPA</w:t>
      </w:r>
      <w:r>
        <w:rPr>
          <w:rFonts w:hint="eastAsia" w:ascii="楷体" w:hAnsi="楷体" w:eastAsia="楷体" w:cs="仿宋"/>
          <w:b w:val="0"/>
          <w:bCs/>
        </w:rPr>
        <w:t>与法律职业资格考试所学的知识，反向应用于经营实体。主导制定了选品合规自查清单，确保在涉及广告法、产品质量法及税务申报等环节零风险，深刻理解小微企业从设立到存续的全流程法律红线与财税底线。</w:t>
      </w:r>
      <w:r>
        <w:rPr>
          <w:rFonts w:ascii="楷体" w:hAnsi="楷体" w:eastAsia="楷体" w:cs="仿宋"/>
          <w:b w:val="0"/>
          <w:bCs/>
        </w:rPr>
        <w:t>。</w:t>
      </w:r>
    </w:p>
    <w:p w14:paraId="67F5BA86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hint="default" w:ascii="楷体" w:hAnsi="楷体" w:eastAsia="楷体" w:cs="仿宋"/>
          <w:b w:val="0"/>
          <w:bCs/>
        </w:rPr>
      </w:pPr>
      <w:r>
        <w:rPr>
          <w:rFonts w:hint="default" w:ascii="楷体" w:hAnsi="楷体" w:eastAsia="楷体" w:cs="仿宋"/>
          <w:b w:val="0"/>
          <w:bCs/>
        </w:rPr>
        <w:t>财税基础实践：负责个体工商户的日常</w:t>
      </w:r>
      <w:r>
        <w:rPr>
          <w:rFonts w:hint="eastAsia" w:ascii="楷体" w:hAnsi="楷体" w:eastAsia="楷体" w:cs="仿宋"/>
          <w:b w:val="0"/>
          <w:bCs/>
          <w:lang w:val="en-US" w:eastAsia="zh-CN"/>
        </w:rPr>
        <w:t>账务核算、</w:t>
      </w:r>
      <w:r>
        <w:rPr>
          <w:rFonts w:hint="default" w:ascii="楷体" w:hAnsi="楷体" w:eastAsia="楷体" w:cs="仿宋"/>
          <w:b w:val="0"/>
          <w:bCs/>
        </w:rPr>
        <w:t>税务申报、账目记录及年报公示。通过这一过程，跑通 “票据审核-纳税申报-政策适用” 的实操闭环，将书本概念转化为实际操作经验，强化了对基层财税征管体系的理解。</w:t>
      </w:r>
    </w:p>
    <w:p w14:paraId="752E5EB5">
      <w:pPr>
        <w:pStyle w:val="13"/>
        <w:numPr>
          <w:ilvl w:val="0"/>
          <w:numId w:val="1"/>
        </w:numPr>
        <w:tabs>
          <w:tab w:val="left" w:pos="360"/>
          <w:tab w:val="clear" w:pos="4584"/>
        </w:tabs>
        <w:ind w:left="360"/>
        <w:rPr>
          <w:rFonts w:ascii="楷体" w:hAnsi="楷体" w:eastAsia="楷体" w:cs="仿宋"/>
          <w:bCs/>
        </w:rPr>
      </w:pPr>
      <w:r>
        <w:rPr>
          <w:rFonts w:hint="default" w:ascii="楷体" w:hAnsi="楷体" w:eastAsia="楷体" w:cs="仿宋"/>
          <w:b w:val="0"/>
          <w:bCs/>
        </w:rPr>
        <w:t>复合知识反哺：利用</w:t>
      </w:r>
      <w:r>
        <w:rPr>
          <w:rFonts w:hint="default" w:ascii="楷体" w:hAnsi="楷体" w:eastAsia="楷体" w:cs="仿宋"/>
          <w:bCs/>
        </w:rPr>
        <w:t>法律知识审视经营合同与潜在责任，利用财务知识优化成本记录方式，实现了“学以致用”，培养独立解决复杂合规问题的能力。</w:t>
      </w:r>
    </w:p>
    <w:p w14:paraId="6DB9DE2C">
      <w:pPr>
        <w:pStyle w:val="13"/>
        <w:numPr>
          <w:ilvl w:val="0"/>
          <w:numId w:val="0"/>
        </w:numPr>
        <w:tabs>
          <w:tab w:val="left" w:pos="360"/>
        </w:tabs>
        <w:ind w:leftChars="0"/>
        <w:rPr>
          <w:rFonts w:hint="eastAsia" w:ascii="楷体" w:hAnsi="楷体" w:eastAsia="楷体" w:cs="仿宋"/>
          <w:bCs/>
        </w:rPr>
      </w:pPr>
    </w:p>
    <w:p w14:paraId="14629DA5">
      <w:pPr>
        <w:pStyle w:val="15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 w:firstLineChars="0"/>
        <w:rPr>
          <w:rFonts w:hint="eastAsia" w:ascii="微软雅黑" w:hAnsi="微软雅黑" w:eastAsia="微软雅黑" w:cs="宋体"/>
          <w:color w:val="262626" w:themeColor="text1" w:themeTint="D9"/>
          <w:sz w:val="18"/>
          <w:szCs w:val="18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</w:pPr>
    </w:p>
    <w:sectPr>
      <w:pgSz w:w="12240" w:h="15840"/>
      <w:pgMar w:top="1080" w:right="1080" w:bottom="1080" w:left="108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1" w:fontKey="{79EC14F6-9450-45DF-8914-2FB73F05928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73472F0-33BB-4AFE-9F0E-926B397185C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DA069384-8C65-404E-9578-AF04F1FB7876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0D04C2"/>
    <w:multiLevelType w:val="multilevel"/>
    <w:tmpl w:val="6C0D04C2"/>
    <w:lvl w:ilvl="0" w:tentative="0">
      <w:start w:val="1"/>
      <w:numFmt w:val="bullet"/>
      <w:lvlText w:val=""/>
      <w:lvlJc w:val="left"/>
      <w:pPr>
        <w:tabs>
          <w:tab w:val="left" w:pos="4584"/>
        </w:tabs>
        <w:ind w:left="4584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drawingGridHorizontalSpacing w:val="1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NGY5NzRhZTljZGYwMzA5YjcxNmUxM2U5NThmMDYifQ=="/>
  </w:docVars>
  <w:rsids>
    <w:rsidRoot w:val="00FF1314"/>
    <w:rsid w:val="00003EB1"/>
    <w:rsid w:val="000116A9"/>
    <w:rsid w:val="000138AC"/>
    <w:rsid w:val="000158BB"/>
    <w:rsid w:val="00020CC4"/>
    <w:rsid w:val="00037430"/>
    <w:rsid w:val="00071171"/>
    <w:rsid w:val="000723BF"/>
    <w:rsid w:val="00072742"/>
    <w:rsid w:val="0008132D"/>
    <w:rsid w:val="00082D9A"/>
    <w:rsid w:val="00083964"/>
    <w:rsid w:val="00084983"/>
    <w:rsid w:val="0009369A"/>
    <w:rsid w:val="000A35B7"/>
    <w:rsid w:val="000A4785"/>
    <w:rsid w:val="000A489F"/>
    <w:rsid w:val="000B1E21"/>
    <w:rsid w:val="000B4ECA"/>
    <w:rsid w:val="000E0988"/>
    <w:rsid w:val="000E7821"/>
    <w:rsid w:val="00106541"/>
    <w:rsid w:val="00114794"/>
    <w:rsid w:val="00137332"/>
    <w:rsid w:val="00142D3E"/>
    <w:rsid w:val="00151D76"/>
    <w:rsid w:val="00163354"/>
    <w:rsid w:val="00166BDD"/>
    <w:rsid w:val="0018476A"/>
    <w:rsid w:val="00185CD2"/>
    <w:rsid w:val="00190AA9"/>
    <w:rsid w:val="0019316F"/>
    <w:rsid w:val="0019333C"/>
    <w:rsid w:val="0019481D"/>
    <w:rsid w:val="001949C9"/>
    <w:rsid w:val="001957D7"/>
    <w:rsid w:val="001A44D4"/>
    <w:rsid w:val="001A4991"/>
    <w:rsid w:val="001B541A"/>
    <w:rsid w:val="001C2B85"/>
    <w:rsid w:val="001C7BF8"/>
    <w:rsid w:val="001D02CE"/>
    <w:rsid w:val="001E74A7"/>
    <w:rsid w:val="001F5B53"/>
    <w:rsid w:val="001F7CFC"/>
    <w:rsid w:val="002002C0"/>
    <w:rsid w:val="00200792"/>
    <w:rsid w:val="002027E2"/>
    <w:rsid w:val="00227496"/>
    <w:rsid w:val="00233C83"/>
    <w:rsid w:val="00234F5A"/>
    <w:rsid w:val="00242E0D"/>
    <w:rsid w:val="00243A22"/>
    <w:rsid w:val="00246871"/>
    <w:rsid w:val="00252501"/>
    <w:rsid w:val="002709FE"/>
    <w:rsid w:val="002841ED"/>
    <w:rsid w:val="0028627C"/>
    <w:rsid w:val="00286FD6"/>
    <w:rsid w:val="00297166"/>
    <w:rsid w:val="002A6EED"/>
    <w:rsid w:val="002A7BFA"/>
    <w:rsid w:val="002B1A2C"/>
    <w:rsid w:val="002D2BBC"/>
    <w:rsid w:val="002D3C0A"/>
    <w:rsid w:val="002D6D74"/>
    <w:rsid w:val="002E1E78"/>
    <w:rsid w:val="002F10F0"/>
    <w:rsid w:val="00302179"/>
    <w:rsid w:val="003022AB"/>
    <w:rsid w:val="003036E3"/>
    <w:rsid w:val="00306DCB"/>
    <w:rsid w:val="003103FF"/>
    <w:rsid w:val="00312A44"/>
    <w:rsid w:val="00320C9C"/>
    <w:rsid w:val="003359B2"/>
    <w:rsid w:val="00336913"/>
    <w:rsid w:val="003427EC"/>
    <w:rsid w:val="0035740F"/>
    <w:rsid w:val="0037558D"/>
    <w:rsid w:val="00381344"/>
    <w:rsid w:val="00387715"/>
    <w:rsid w:val="003A5400"/>
    <w:rsid w:val="003D50F3"/>
    <w:rsid w:val="003D6AF3"/>
    <w:rsid w:val="003E3CE7"/>
    <w:rsid w:val="003E7F38"/>
    <w:rsid w:val="003F4D3C"/>
    <w:rsid w:val="003F4FE8"/>
    <w:rsid w:val="0040555B"/>
    <w:rsid w:val="00412B92"/>
    <w:rsid w:val="004161AD"/>
    <w:rsid w:val="004234C3"/>
    <w:rsid w:val="00426E70"/>
    <w:rsid w:val="00435444"/>
    <w:rsid w:val="00454A55"/>
    <w:rsid w:val="00463F0B"/>
    <w:rsid w:val="00466F03"/>
    <w:rsid w:val="00486223"/>
    <w:rsid w:val="00491D77"/>
    <w:rsid w:val="004A190B"/>
    <w:rsid w:val="004A7DBE"/>
    <w:rsid w:val="004B71A1"/>
    <w:rsid w:val="004C5FAE"/>
    <w:rsid w:val="004D0187"/>
    <w:rsid w:val="004D06C2"/>
    <w:rsid w:val="004D1278"/>
    <w:rsid w:val="004D5938"/>
    <w:rsid w:val="004D5C9B"/>
    <w:rsid w:val="004E2A56"/>
    <w:rsid w:val="004E4CB2"/>
    <w:rsid w:val="004E7233"/>
    <w:rsid w:val="0050776F"/>
    <w:rsid w:val="005116B3"/>
    <w:rsid w:val="00526EE8"/>
    <w:rsid w:val="005319A8"/>
    <w:rsid w:val="00533A66"/>
    <w:rsid w:val="0054459B"/>
    <w:rsid w:val="005465C8"/>
    <w:rsid w:val="0055513E"/>
    <w:rsid w:val="00567C77"/>
    <w:rsid w:val="00584767"/>
    <w:rsid w:val="00584EA5"/>
    <w:rsid w:val="00586FA6"/>
    <w:rsid w:val="00591C97"/>
    <w:rsid w:val="005A4F25"/>
    <w:rsid w:val="005A7306"/>
    <w:rsid w:val="005A7E86"/>
    <w:rsid w:val="005E2329"/>
    <w:rsid w:val="005F4BFE"/>
    <w:rsid w:val="005F6F95"/>
    <w:rsid w:val="00607ACA"/>
    <w:rsid w:val="006202A8"/>
    <w:rsid w:val="006217EE"/>
    <w:rsid w:val="00622104"/>
    <w:rsid w:val="006274BC"/>
    <w:rsid w:val="00627DA4"/>
    <w:rsid w:val="006353C5"/>
    <w:rsid w:val="00642420"/>
    <w:rsid w:val="0064259E"/>
    <w:rsid w:val="0065524C"/>
    <w:rsid w:val="00670973"/>
    <w:rsid w:val="0067429F"/>
    <w:rsid w:val="006766D4"/>
    <w:rsid w:val="006820D9"/>
    <w:rsid w:val="00697F98"/>
    <w:rsid w:val="006A4099"/>
    <w:rsid w:val="006A5CE4"/>
    <w:rsid w:val="006C15A9"/>
    <w:rsid w:val="006C4418"/>
    <w:rsid w:val="006E756A"/>
    <w:rsid w:val="006F4385"/>
    <w:rsid w:val="006F64B6"/>
    <w:rsid w:val="00705DA0"/>
    <w:rsid w:val="0070616D"/>
    <w:rsid w:val="00712F91"/>
    <w:rsid w:val="007162F1"/>
    <w:rsid w:val="00720538"/>
    <w:rsid w:val="00721D00"/>
    <w:rsid w:val="00725A6A"/>
    <w:rsid w:val="00740599"/>
    <w:rsid w:val="00751BA0"/>
    <w:rsid w:val="00755F86"/>
    <w:rsid w:val="007717D0"/>
    <w:rsid w:val="007B1F7E"/>
    <w:rsid w:val="007C7177"/>
    <w:rsid w:val="007D2299"/>
    <w:rsid w:val="007D53B0"/>
    <w:rsid w:val="007D5936"/>
    <w:rsid w:val="007E18D2"/>
    <w:rsid w:val="00805BD8"/>
    <w:rsid w:val="008145CD"/>
    <w:rsid w:val="00820D5D"/>
    <w:rsid w:val="0082567A"/>
    <w:rsid w:val="008346D8"/>
    <w:rsid w:val="008349D6"/>
    <w:rsid w:val="00837785"/>
    <w:rsid w:val="0084051A"/>
    <w:rsid w:val="00842C15"/>
    <w:rsid w:val="00846C6E"/>
    <w:rsid w:val="00854F16"/>
    <w:rsid w:val="00864C6E"/>
    <w:rsid w:val="008653FE"/>
    <w:rsid w:val="0087141A"/>
    <w:rsid w:val="00894A95"/>
    <w:rsid w:val="00895BC4"/>
    <w:rsid w:val="00897086"/>
    <w:rsid w:val="008A5F12"/>
    <w:rsid w:val="008B4FAC"/>
    <w:rsid w:val="008B5E04"/>
    <w:rsid w:val="008C34E1"/>
    <w:rsid w:val="008D193F"/>
    <w:rsid w:val="008F0CE6"/>
    <w:rsid w:val="008F2C40"/>
    <w:rsid w:val="008F4566"/>
    <w:rsid w:val="008F4FE8"/>
    <w:rsid w:val="00902058"/>
    <w:rsid w:val="009061FC"/>
    <w:rsid w:val="009335E2"/>
    <w:rsid w:val="0096007A"/>
    <w:rsid w:val="009620F8"/>
    <w:rsid w:val="009659EC"/>
    <w:rsid w:val="00974F8D"/>
    <w:rsid w:val="00984949"/>
    <w:rsid w:val="00990A6D"/>
    <w:rsid w:val="009A26D0"/>
    <w:rsid w:val="009B03CA"/>
    <w:rsid w:val="009B0E71"/>
    <w:rsid w:val="009C0AE2"/>
    <w:rsid w:val="009D0504"/>
    <w:rsid w:val="009E24CE"/>
    <w:rsid w:val="009E2970"/>
    <w:rsid w:val="009E6A85"/>
    <w:rsid w:val="009F3B83"/>
    <w:rsid w:val="009F6C57"/>
    <w:rsid w:val="009F7E67"/>
    <w:rsid w:val="00A16FD1"/>
    <w:rsid w:val="00A20ED7"/>
    <w:rsid w:val="00A30C5F"/>
    <w:rsid w:val="00A367B5"/>
    <w:rsid w:val="00A3687D"/>
    <w:rsid w:val="00A404E7"/>
    <w:rsid w:val="00A452D7"/>
    <w:rsid w:val="00A50298"/>
    <w:rsid w:val="00A51BB6"/>
    <w:rsid w:val="00A62222"/>
    <w:rsid w:val="00A84434"/>
    <w:rsid w:val="00A85F54"/>
    <w:rsid w:val="00A87F5A"/>
    <w:rsid w:val="00A92088"/>
    <w:rsid w:val="00A93731"/>
    <w:rsid w:val="00A96041"/>
    <w:rsid w:val="00AB36F5"/>
    <w:rsid w:val="00AB4FA1"/>
    <w:rsid w:val="00AC0512"/>
    <w:rsid w:val="00AC0592"/>
    <w:rsid w:val="00AE34E8"/>
    <w:rsid w:val="00B00ED6"/>
    <w:rsid w:val="00B075B3"/>
    <w:rsid w:val="00B169BD"/>
    <w:rsid w:val="00B269FC"/>
    <w:rsid w:val="00B45DFF"/>
    <w:rsid w:val="00B613F3"/>
    <w:rsid w:val="00B65B2A"/>
    <w:rsid w:val="00B71685"/>
    <w:rsid w:val="00B745E0"/>
    <w:rsid w:val="00B80682"/>
    <w:rsid w:val="00B97737"/>
    <w:rsid w:val="00BA04FC"/>
    <w:rsid w:val="00BA5D19"/>
    <w:rsid w:val="00BB12B5"/>
    <w:rsid w:val="00BB134B"/>
    <w:rsid w:val="00BB7279"/>
    <w:rsid w:val="00BB73F6"/>
    <w:rsid w:val="00BC1FF6"/>
    <w:rsid w:val="00BC7CF7"/>
    <w:rsid w:val="00BE0C24"/>
    <w:rsid w:val="00BE121D"/>
    <w:rsid w:val="00BF0E94"/>
    <w:rsid w:val="00C06D1B"/>
    <w:rsid w:val="00C1403E"/>
    <w:rsid w:val="00C16E48"/>
    <w:rsid w:val="00C172CD"/>
    <w:rsid w:val="00C21B3F"/>
    <w:rsid w:val="00C234C8"/>
    <w:rsid w:val="00C2524D"/>
    <w:rsid w:val="00C36937"/>
    <w:rsid w:val="00C40C6D"/>
    <w:rsid w:val="00C72923"/>
    <w:rsid w:val="00C751C9"/>
    <w:rsid w:val="00C77A50"/>
    <w:rsid w:val="00C77B08"/>
    <w:rsid w:val="00C81E92"/>
    <w:rsid w:val="00C875EA"/>
    <w:rsid w:val="00C9001D"/>
    <w:rsid w:val="00C92D6E"/>
    <w:rsid w:val="00C975CD"/>
    <w:rsid w:val="00CA6E18"/>
    <w:rsid w:val="00CB0B48"/>
    <w:rsid w:val="00CB0E88"/>
    <w:rsid w:val="00CB64E5"/>
    <w:rsid w:val="00CD4153"/>
    <w:rsid w:val="00CD4E14"/>
    <w:rsid w:val="00CD5116"/>
    <w:rsid w:val="00CE3A60"/>
    <w:rsid w:val="00CE5487"/>
    <w:rsid w:val="00CE54C3"/>
    <w:rsid w:val="00D030BD"/>
    <w:rsid w:val="00D03CE6"/>
    <w:rsid w:val="00D044B6"/>
    <w:rsid w:val="00D06C0F"/>
    <w:rsid w:val="00D2331D"/>
    <w:rsid w:val="00D34602"/>
    <w:rsid w:val="00D45540"/>
    <w:rsid w:val="00D60C00"/>
    <w:rsid w:val="00D653BA"/>
    <w:rsid w:val="00D71D20"/>
    <w:rsid w:val="00D734D3"/>
    <w:rsid w:val="00D839E1"/>
    <w:rsid w:val="00D8420A"/>
    <w:rsid w:val="00D8713B"/>
    <w:rsid w:val="00D92884"/>
    <w:rsid w:val="00DB195F"/>
    <w:rsid w:val="00DD7CDE"/>
    <w:rsid w:val="00DF3B62"/>
    <w:rsid w:val="00DF5E62"/>
    <w:rsid w:val="00E21F10"/>
    <w:rsid w:val="00E2433B"/>
    <w:rsid w:val="00E3058D"/>
    <w:rsid w:val="00E34551"/>
    <w:rsid w:val="00E441E1"/>
    <w:rsid w:val="00E549B5"/>
    <w:rsid w:val="00E56829"/>
    <w:rsid w:val="00E610F7"/>
    <w:rsid w:val="00E7137C"/>
    <w:rsid w:val="00E85A41"/>
    <w:rsid w:val="00E93622"/>
    <w:rsid w:val="00E948A3"/>
    <w:rsid w:val="00EA5D2E"/>
    <w:rsid w:val="00EB42C4"/>
    <w:rsid w:val="00ED12A3"/>
    <w:rsid w:val="00ED61C0"/>
    <w:rsid w:val="00ED6DB9"/>
    <w:rsid w:val="00EE7C27"/>
    <w:rsid w:val="00EF3B9B"/>
    <w:rsid w:val="00F06682"/>
    <w:rsid w:val="00F3000F"/>
    <w:rsid w:val="00F34E77"/>
    <w:rsid w:val="00F602BA"/>
    <w:rsid w:val="00F80C6D"/>
    <w:rsid w:val="00F82DF0"/>
    <w:rsid w:val="00F9119D"/>
    <w:rsid w:val="00F97027"/>
    <w:rsid w:val="00FB29AD"/>
    <w:rsid w:val="00FB5F14"/>
    <w:rsid w:val="00FC67A8"/>
    <w:rsid w:val="00FC6CC6"/>
    <w:rsid w:val="00FD1953"/>
    <w:rsid w:val="00FD468B"/>
    <w:rsid w:val="00FD7EC9"/>
    <w:rsid w:val="00FE74B0"/>
    <w:rsid w:val="00FF1314"/>
    <w:rsid w:val="00FF2FDD"/>
    <w:rsid w:val="0C5965C6"/>
    <w:rsid w:val="0F621194"/>
    <w:rsid w:val="11CC715C"/>
    <w:rsid w:val="1531205D"/>
    <w:rsid w:val="163A2906"/>
    <w:rsid w:val="16CB43F4"/>
    <w:rsid w:val="18962271"/>
    <w:rsid w:val="1BD23E31"/>
    <w:rsid w:val="1C9E7D80"/>
    <w:rsid w:val="1FCE373D"/>
    <w:rsid w:val="210324B5"/>
    <w:rsid w:val="225A62E9"/>
    <w:rsid w:val="269640B9"/>
    <w:rsid w:val="27527727"/>
    <w:rsid w:val="2B85342E"/>
    <w:rsid w:val="2BE3705F"/>
    <w:rsid w:val="2D353F4C"/>
    <w:rsid w:val="2EFE173C"/>
    <w:rsid w:val="34142DF9"/>
    <w:rsid w:val="353871DA"/>
    <w:rsid w:val="36B10978"/>
    <w:rsid w:val="3D8A0BDA"/>
    <w:rsid w:val="3FD56D86"/>
    <w:rsid w:val="41BD2FC9"/>
    <w:rsid w:val="485D476D"/>
    <w:rsid w:val="50452533"/>
    <w:rsid w:val="519B0C71"/>
    <w:rsid w:val="51A02B7A"/>
    <w:rsid w:val="531E3D77"/>
    <w:rsid w:val="59632818"/>
    <w:rsid w:val="5AEA6DA5"/>
    <w:rsid w:val="5D057B2C"/>
    <w:rsid w:val="5E895738"/>
    <w:rsid w:val="5FED7FE6"/>
    <w:rsid w:val="60DC0262"/>
    <w:rsid w:val="63906C3E"/>
    <w:rsid w:val="64652F83"/>
    <w:rsid w:val="650D526E"/>
    <w:rsid w:val="690F7B3B"/>
    <w:rsid w:val="69293F52"/>
    <w:rsid w:val="6B867A17"/>
    <w:rsid w:val="6C953852"/>
    <w:rsid w:val="76A40461"/>
    <w:rsid w:val="77BF78E5"/>
    <w:rsid w:val="77D210A2"/>
    <w:rsid w:val="789A5517"/>
    <w:rsid w:val="7A447030"/>
    <w:rsid w:val="7A526F60"/>
    <w:rsid w:val="7AFD1314"/>
    <w:rsid w:val="7D183B4F"/>
    <w:rsid w:val="7E6E09FF"/>
    <w:rsid w:val="7E8F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semiHidden/>
    <w:unhideWhenUsed/>
    <w:qFormat/>
    <w:uiPriority w:val="9"/>
    <w:pPr>
      <w:spacing w:beforeAutospacing="1" w:afterAutospacing="1"/>
      <w:outlineLvl w:val="1"/>
    </w:pPr>
    <w:rPr>
      <w:rFonts w:hint="eastAsia" w:ascii="宋体" w:hAnsi="宋体"/>
      <w:b/>
      <w:bCs/>
      <w:sz w:val="36"/>
      <w:szCs w:val="36"/>
    </w:rPr>
  </w:style>
  <w:style w:type="character" w:default="1" w:styleId="11">
    <w:name w:val="Default Paragraph Font"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微软雅黑" w:hAnsi="微软雅黑" w:eastAsia="微软雅黑" w:cs="微软雅黑"/>
      <w:sz w:val="18"/>
      <w:szCs w:val="18"/>
      <w:lang w:eastAsia="en-US"/>
    </w:rPr>
  </w:style>
  <w:style w:type="paragraph" w:styleId="5">
    <w:name w:val="Balloon Text"/>
    <w:basedOn w:val="1"/>
    <w:link w:val="14"/>
    <w:autoRedefine/>
    <w:qFormat/>
    <w:uiPriority w:val="0"/>
    <w:pPr>
      <w:widowControl w:val="0"/>
      <w:jc w:val="both"/>
    </w:pPr>
    <w:rPr>
      <w:kern w:val="2"/>
      <w:sz w:val="18"/>
      <w:szCs w:val="18"/>
    </w:rPr>
  </w:style>
  <w:style w:type="paragraph" w:styleId="6">
    <w:name w:val="footer"/>
    <w:basedOn w:val="1"/>
    <w:autoRedefine/>
    <w:qFormat/>
    <w:uiPriority w:val="0"/>
    <w:pPr>
      <w:tabs>
        <w:tab w:val="center" w:pos="4320"/>
        <w:tab w:val="right" w:pos="8640"/>
      </w:tabs>
    </w:pPr>
  </w:style>
  <w:style w:type="paragraph" w:styleId="7">
    <w:name w:val="header"/>
    <w:basedOn w:val="1"/>
    <w:autoRedefine/>
    <w:qFormat/>
    <w:uiPriority w:val="0"/>
    <w:pPr>
      <w:tabs>
        <w:tab w:val="center" w:pos="4320"/>
        <w:tab w:val="center" w:pos="5040"/>
        <w:tab w:val="right" w:pos="8640"/>
        <w:tab w:val="left" w:pos="9375"/>
      </w:tabs>
      <w:jc w:val="center"/>
    </w:pPr>
    <w:rPr>
      <w:rFonts w:ascii="楷体" w:hAnsi="楷体" w:eastAsia="楷体" w:cs="微软雅黑"/>
      <w:sz w:val="32"/>
      <w:szCs w:val="32"/>
    </w:rPr>
  </w:style>
  <w:style w:type="paragraph" w:styleId="8">
    <w:name w:val="HTML Preformatted"/>
    <w:basedOn w:val="1"/>
    <w:link w:val="19"/>
    <w:autoRedefine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9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ascii="宋体" w:hAnsi="宋体" w:cs="宋体"/>
    </w:rPr>
  </w:style>
  <w:style w:type="character" w:styleId="12">
    <w:name w:val="Strong"/>
    <w:basedOn w:val="11"/>
    <w:autoRedefine/>
    <w:qFormat/>
    <w:uiPriority w:val="0"/>
    <w:rPr>
      <w:b/>
      <w:bCs/>
    </w:rPr>
  </w:style>
  <w:style w:type="paragraph" w:customStyle="1" w:styleId="13">
    <w:name w:val="Resume Align Right"/>
    <w:basedOn w:val="1"/>
    <w:autoRedefine/>
    <w:qFormat/>
    <w:uiPriority w:val="0"/>
    <w:pPr>
      <w:tabs>
        <w:tab w:val="right" w:pos="10080"/>
      </w:tabs>
    </w:pPr>
  </w:style>
  <w:style w:type="character" w:customStyle="1" w:styleId="14">
    <w:name w:val="批注框文本 字符"/>
    <w:basedOn w:val="11"/>
    <w:link w:val="5"/>
    <w:autoRedefine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paragraph" w:customStyle="1" w:styleId="16">
    <w:name w:val="列出段落1"/>
    <w:basedOn w:val="1"/>
    <w:autoRedefine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</w:rPr>
  </w:style>
  <w:style w:type="paragraph" w:customStyle="1" w:styleId="17">
    <w:name w:val="文章标题"/>
    <w:basedOn w:val="2"/>
    <w:autoRedefine/>
    <w:qFormat/>
    <w:uiPriority w:val="0"/>
    <w:pPr>
      <w:autoSpaceDE w:val="0"/>
      <w:autoSpaceDN w:val="0"/>
      <w:adjustRightInd w:val="0"/>
      <w:spacing w:before="50" w:beforeLines="50" w:after="50" w:afterLines="50"/>
    </w:pPr>
    <w:rPr>
      <w:rFonts w:ascii="微软雅黑" w:hAnsi="微软雅黑" w:eastAsia="微软雅黑" w:cs="微软雅黑"/>
      <w:b w:val="0"/>
      <w:color w:val="C0504D" w:themeColor="accent2"/>
      <w:kern w:val="0"/>
      <w:sz w:val="48"/>
      <w:szCs w:val="48"/>
      <w14:textFill>
        <w14:solidFill>
          <w14:schemeClr w14:val="accent2"/>
        </w14:solidFill>
      </w14:textFill>
    </w:rPr>
  </w:style>
  <w:style w:type="character" w:customStyle="1" w:styleId="18">
    <w:name w:val="标题 1 字符"/>
    <w:basedOn w:val="11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19">
    <w:name w:val="HTML 预设格式 字符"/>
    <w:basedOn w:val="11"/>
    <w:link w:val="8"/>
    <w:autoRedefine/>
    <w:qFormat/>
    <w:uiPriority w:val="99"/>
    <w:rPr>
      <w:rFonts w:ascii="宋体" w:hAnsi="宋体" w:cs="宋体"/>
      <w:sz w:val="24"/>
      <w:szCs w:val="24"/>
    </w:rPr>
  </w:style>
  <w:style w:type="character" w:customStyle="1" w:styleId="20">
    <w:name w:val="markedcontent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1119</Words>
  <Characters>1259</Characters>
  <Lines>18</Lines>
  <Paragraphs>5</Paragraphs>
  <TotalTime>672</TotalTime>
  <ScaleCrop>false</ScaleCrop>
  <LinksUpToDate>false</LinksUpToDate>
  <CharactersWithSpaces>1521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Celine Xu</dc:creator>
  <cp:revision>5</cp:revision>
  <cp:lastPrinted>2025-04-05T16:20:00Z</cp:lastPrinted>
  <dcterms:created xsi:type="dcterms:W3CDTF">2024-01-15T12:40:00Z</dcterms:created>
  <dcterms:modified xsi:type="dcterms:W3CDTF">2026-02-17T15:31:23Z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41E06BB53EBB4872B21B6C634F1BB325_13</vt:lpwstr>
  </property>
  <property fmtid="{D5CDD505-2E9C-101B-9397-08002B2CF9AE}" pid="4" name="KSOTemplateDocerSaveRecord">
    <vt:lpwstr>eyJoZGlkIjoiZmYxMWRkMDcxYWZmM2YwYzBhZjgyNjNiZTQyN2FlOTIiLCJ1c2VySWQiOiIzNjgyNjI3NTgifQ==</vt:lpwstr>
  </property>
</Properties>
</file>